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47276D4F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885851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3B6742">
              <w:rPr>
                <w:rFonts w:asciiTheme="minorHAnsi" w:hAnsiTheme="minorHAnsi" w:cstheme="minorHAnsi"/>
                <w:b/>
                <w:bCs/>
                <w:color w:val="21517E"/>
              </w:rPr>
              <w:t>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3D19D1">
              <w:rPr>
                <w:rFonts w:asciiTheme="minorHAnsi" w:hAnsiTheme="minorHAnsi" w:cstheme="minorHAnsi"/>
                <w:b/>
                <w:bCs/>
                <w:color w:val="21517E"/>
              </w:rPr>
              <w:t>0</w:t>
            </w:r>
            <w:r w:rsidR="003B6742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3D19D1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Pr="00A5186E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6E1FE108" w:rsidR="005C2EC8" w:rsidRPr="00AB3E99" w:rsidRDefault="00885851" w:rsidP="003B6742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</w:t>
            </w:r>
            <w:r w:rsidRPr="00885851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Івано-Франківській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Pr="00885851">
              <w:rPr>
                <w:rFonts w:asciiTheme="minorHAnsi" w:hAnsiTheme="minorHAnsi" w:cstheme="minorHAnsi"/>
                <w:bCs/>
                <w:color w:val="DC9529"/>
              </w:rPr>
              <w:t xml:space="preserve"> </w:t>
            </w:r>
            <w:r w:rsidR="00625F53" w:rsidRPr="00625F5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3B674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січ</w:t>
            </w:r>
            <w:r w:rsidR="003D19D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н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</w:t>
            </w:r>
            <w:r w:rsidR="003B674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F7990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38BDC54E" w:rsidR="005C2EC8" w:rsidRPr="002530AB" w:rsidRDefault="002530AB" w:rsidP="002F7990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="005C2EC8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0D16E1">
              <w:rPr>
                <w:sz w:val="20"/>
                <w:szCs w:val="20"/>
                <w:lang w:eastAsia="uk-UA"/>
              </w:rPr>
              <w:t>Івано-Франківській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39F79DE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4="http://schemas.microsoft.com/office/drawing/2010/main" xmlns:c="http://schemas.openxmlformats.org/drawingml/2006/chart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217DA950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4="http://schemas.microsoft.com/office/drawing/2010/main" xmlns:c="http://schemas.openxmlformats.org/drawingml/2006/chart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D16E1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ifgus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72E3368E" w:rsidR="005C2EC8" w:rsidRPr="000D16E1" w:rsidRDefault="005C2EC8" w:rsidP="000D16E1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  <w:lang w:val="en-US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0342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79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20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93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26271DF4" w14:textId="77777777" w:rsidR="008E6A13" w:rsidRDefault="008E6A13" w:rsidP="00111992">
      <w:pPr>
        <w:pStyle w:val="--12"/>
      </w:pPr>
    </w:p>
    <w:bookmarkEnd w:id="0"/>
    <w:p w14:paraId="7343FDDE" w14:textId="69E6DC3C" w:rsidR="00F90C1F" w:rsidRDefault="00F90C1F" w:rsidP="00F90C1F">
      <w:pPr>
        <w:pStyle w:val="--12"/>
      </w:pPr>
      <w:r>
        <w:t>За даними Державної служби статистики України, і</w:t>
      </w:r>
      <w:r>
        <w:rPr>
          <w:rFonts w:ascii="Calibri" w:hAnsi="Calibri"/>
        </w:rPr>
        <w:t>нфляція на споживчому ринку в</w:t>
      </w:r>
      <w:r>
        <w:t xml:space="preserve"> </w:t>
      </w:r>
      <w:r w:rsidR="003B6742">
        <w:t>січ</w:t>
      </w:r>
      <w:r w:rsidR="003D19D1">
        <w:t>н</w:t>
      </w:r>
      <w:r>
        <w:t>і 202</w:t>
      </w:r>
      <w:r w:rsidR="003B6742">
        <w:t>6</w:t>
      </w:r>
      <w:r>
        <w:t xml:space="preserve">р. порівняно </w:t>
      </w:r>
      <w:r w:rsidR="0022051B">
        <w:t>і</w:t>
      </w:r>
      <w:r>
        <w:t xml:space="preserve">з </w:t>
      </w:r>
      <w:r w:rsidR="003B6742">
        <w:t>грудне</w:t>
      </w:r>
      <w:r>
        <w:t>м 2025р. в області становила 0,</w:t>
      </w:r>
      <w:r w:rsidR="003B6742">
        <w:t>4</w:t>
      </w:r>
      <w:r>
        <w:t xml:space="preserve">%, </w:t>
      </w:r>
      <w:r w:rsidR="0022051B">
        <w:t>в Україні – 0,</w:t>
      </w:r>
      <w:r w:rsidR="003B6742">
        <w:t>7</w:t>
      </w:r>
      <w:r w:rsidR="0022051B">
        <w:t>%</w:t>
      </w:r>
      <w:r>
        <w:t>.</w:t>
      </w:r>
    </w:p>
    <w:p w14:paraId="66E3F669" w14:textId="77777777" w:rsidR="004513FA" w:rsidRDefault="004513FA" w:rsidP="00F90C1F">
      <w:pPr>
        <w:pStyle w:val="--12"/>
      </w:pPr>
    </w:p>
    <w:p w14:paraId="126F2B75" w14:textId="77777777" w:rsidR="00F90C1F" w:rsidRDefault="00F90C1F" w:rsidP="00F90C1F">
      <w:pPr>
        <w:pStyle w:val="--12"/>
        <w:rPr>
          <w:sz w:val="10"/>
          <w:szCs w:val="12"/>
        </w:rPr>
      </w:pPr>
    </w:p>
    <w:p w14:paraId="4DE2DA14" w14:textId="77777777" w:rsidR="00F90C1F" w:rsidRDefault="00F90C1F" w:rsidP="00F90C1F">
      <w:pPr>
        <w:pStyle w:val="--12"/>
        <w:ind w:firstLine="0"/>
      </w:pPr>
    </w:p>
    <w:p w14:paraId="12D52269" w14:textId="77777777" w:rsidR="00F90C1F" w:rsidRDefault="00F90C1F" w:rsidP="00F90C1F">
      <w:pPr>
        <w:rPr>
          <w:rFonts w:asciiTheme="minorHAnsi" w:hAnsiTheme="minorHAnsi" w:cstheme="minorHAnsi"/>
          <w:snapToGrid w:val="0"/>
          <w:color w:val="22517D"/>
          <w:szCs w:val="26"/>
        </w:rPr>
        <w:sectPr w:rsidR="00F90C1F" w:rsidSect="00F90C1F">
          <w:type w:val="continuous"/>
          <w:pgSz w:w="11906" w:h="16838"/>
          <w:pgMar w:top="851" w:right="1134" w:bottom="851" w:left="1134" w:header="709" w:footer="709" w:gutter="0"/>
          <w:cols w:space="720"/>
        </w:sectPr>
      </w:pPr>
    </w:p>
    <w:p w14:paraId="1595D443" w14:textId="77777777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rFonts w:ascii="Calibri" w:hAnsi="Calibri" w:cs="Calibri"/>
          <w:b/>
          <w:bCs/>
          <w:color w:val="DC9529"/>
          <w:szCs w:val="24"/>
        </w:rPr>
        <w:lastRenderedPageBreak/>
        <w:t xml:space="preserve">Зміни споживчих цін </w:t>
      </w:r>
    </w:p>
    <w:p w14:paraId="2FFCD812" w14:textId="77777777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11F9FA31" w14:textId="539A2E09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noProof/>
          <w:lang w:eastAsia="uk-UA"/>
        </w:rPr>
        <w:drawing>
          <wp:inline distT="0" distB="0" distL="0" distR="0" wp14:anchorId="4E45035D" wp14:editId="3907E961">
            <wp:extent cx="2836545" cy="1886585"/>
            <wp:effectExtent l="0" t="0" r="1905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DFFE080" w14:textId="6C0CE3F2" w:rsidR="00F90C1F" w:rsidRDefault="00F90C1F" w:rsidP="00F90C1F">
      <w:pPr>
        <w:pStyle w:val="--12"/>
        <w:ind w:firstLine="0"/>
        <w:jc w:val="center"/>
        <w:rPr>
          <w:b/>
        </w:rPr>
      </w:pPr>
      <w:r>
        <w:rPr>
          <w:rFonts w:ascii="Calibri" w:hAnsi="Calibri" w:cs="Calibri"/>
          <w:b/>
          <w:bCs/>
          <w:color w:val="DC9529"/>
          <w:szCs w:val="24"/>
        </w:rPr>
        <w:lastRenderedPageBreak/>
        <w:t>Зміни споживчих цін у 202</w:t>
      </w:r>
      <w:r w:rsidR="006B76AC">
        <w:rPr>
          <w:rFonts w:ascii="Calibri" w:hAnsi="Calibri" w:cs="Calibri"/>
          <w:b/>
          <w:bCs/>
          <w:color w:val="DC9529"/>
          <w:szCs w:val="24"/>
        </w:rPr>
        <w:t>6</w:t>
      </w:r>
      <w:r>
        <w:rPr>
          <w:rFonts w:ascii="Calibri" w:hAnsi="Calibri" w:cs="Calibri"/>
          <w:b/>
          <w:bCs/>
          <w:color w:val="DC9529"/>
          <w:szCs w:val="24"/>
        </w:rPr>
        <w:t xml:space="preserve"> році</w:t>
      </w:r>
    </w:p>
    <w:p w14:paraId="1C5458E8" w14:textId="77777777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у % до грудня попереднього року</w:t>
      </w:r>
    </w:p>
    <w:p w14:paraId="6AE37DEB" w14:textId="5B381105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noProof/>
          <w:lang w:eastAsia="uk-UA"/>
        </w:rPr>
        <w:drawing>
          <wp:inline distT="0" distB="0" distL="0" distR="0" wp14:anchorId="489EF12F" wp14:editId="4EC73C96">
            <wp:extent cx="2836545" cy="1886585"/>
            <wp:effectExtent l="0" t="0" r="1905" b="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4627EB5" w14:textId="77777777" w:rsidR="00F90C1F" w:rsidRDefault="00F90C1F" w:rsidP="00F90C1F">
      <w:pPr>
        <w:rPr>
          <w:rFonts w:ascii="Calibri" w:hAnsi="Calibri" w:cs="Calibri"/>
          <w:b/>
          <w:bCs/>
          <w:color w:val="DC9529"/>
        </w:rPr>
        <w:sectPr w:rsidR="00F90C1F">
          <w:type w:val="continuous"/>
          <w:pgSz w:w="11906" w:h="16838"/>
          <w:pgMar w:top="851" w:right="1134" w:bottom="851" w:left="1134" w:header="709" w:footer="709" w:gutter="0"/>
          <w:cols w:num="2" w:space="708"/>
        </w:sectPr>
      </w:pPr>
    </w:p>
    <w:p w14:paraId="41A3B39B" w14:textId="77777777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</w:p>
    <w:p w14:paraId="3596F423" w14:textId="77777777" w:rsidR="004513FA" w:rsidRDefault="004513FA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</w:p>
    <w:p w14:paraId="402E1095" w14:textId="77777777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rFonts w:ascii="Calibri" w:hAnsi="Calibri" w:cs="Calibri"/>
          <w:b/>
          <w:bCs/>
          <w:color w:val="DC9529"/>
          <w:szCs w:val="24"/>
        </w:rPr>
        <w:t>Зміни споживчих цін на товари та послуги</w:t>
      </w:r>
    </w:p>
    <w:tbl>
      <w:tblPr>
        <w:tblW w:w="9606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5"/>
        <w:gridCol w:w="2551"/>
      </w:tblGrid>
      <w:tr w:rsidR="004513FA" w14:paraId="60617607" w14:textId="77777777" w:rsidTr="004513FA">
        <w:trPr>
          <w:trHeight w:val="340"/>
        </w:trPr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38F18418" w14:textId="77777777" w:rsidR="004513FA" w:rsidRDefault="004513FA" w:rsidP="009B6CE8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CC06618" w14:textId="77777777" w:rsidR="004513FA" w:rsidRDefault="004513FA" w:rsidP="004513FA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Січень</w:t>
            </w:r>
            <w:proofErr w:type="spellEnd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2026</w:t>
            </w:r>
          </w:p>
          <w:p w14:paraId="246561B0" w14:textId="76291CB5" w:rsidR="004513FA" w:rsidRDefault="004513FA" w:rsidP="004513FA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до </w:t>
            </w:r>
            <w:proofErr w:type="spellStart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грудня</w:t>
            </w:r>
            <w:proofErr w:type="spellEnd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2025</w:t>
            </w:r>
          </w:p>
        </w:tc>
      </w:tr>
      <w:tr w:rsidR="00A37E75" w14:paraId="7A5A4F7C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26645E2" w14:textId="045A8B4B" w:rsidR="00A37E75" w:rsidRDefault="00A37E75" w:rsidP="00A37E75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893AA86" w14:textId="4DE403AB" w:rsidR="00A37E75" w:rsidRDefault="00A37E75" w:rsidP="00A37E75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</w:tr>
      <w:tr w:rsidR="00A37E75" w14:paraId="55675309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5A83E0E" w14:textId="78172A8D" w:rsidR="00A37E75" w:rsidRDefault="00A37E75" w:rsidP="00A37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261A296" w14:textId="3F6D8BDE" w:rsidR="00A37E75" w:rsidRDefault="00A37E75" w:rsidP="00A37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</w:tr>
      <w:tr w:rsidR="00A37E75" w14:paraId="3231002D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7E95ADB" w14:textId="3ED23E6B" w:rsidR="00A37E75" w:rsidRDefault="00A37E75" w:rsidP="00A37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4F748D" w14:textId="689B87D5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</w:tr>
      <w:tr w:rsidR="00A37E75" w14:paraId="2B7FF703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CE08D40" w14:textId="09F40C56" w:rsidR="00A37E75" w:rsidRDefault="00A37E75" w:rsidP="00A37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D978DFD" w14:textId="31B6DB75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2,0</w:t>
            </w:r>
          </w:p>
        </w:tc>
      </w:tr>
      <w:tr w:rsidR="00A37E75" w14:paraId="0703B1F1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733E9E1" w14:textId="338A137D" w:rsidR="00A37E75" w:rsidRDefault="00A37E75" w:rsidP="00A37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DA05AFE" w14:textId="4F0DF29E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</w:tr>
      <w:tr w:rsidR="00A37E75" w14:paraId="611967C3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3CE2F09" w14:textId="37771372" w:rsidR="00A37E75" w:rsidRDefault="00A37E75" w:rsidP="00A37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7EF46DD" w14:textId="65216C71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</w:tr>
      <w:tr w:rsidR="00A37E75" w14:paraId="4E986BCC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6AE9C2D" w14:textId="0529B900" w:rsidR="00A37E75" w:rsidRDefault="00A37E75" w:rsidP="00A37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3AA44B7" w14:textId="4E4A0B1C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-1,6</w:t>
            </w:r>
          </w:p>
        </w:tc>
      </w:tr>
      <w:tr w:rsidR="00A37E75" w14:paraId="795BF216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86C41F5" w14:textId="355A4E56" w:rsidR="00A37E75" w:rsidRDefault="00A37E75" w:rsidP="00A37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2B2D77" w14:textId="099905C5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2,6</w:t>
            </w:r>
          </w:p>
        </w:tc>
      </w:tr>
      <w:tr w:rsidR="00A37E75" w14:paraId="71BB18EF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632FAD" w14:textId="0500B4CF" w:rsidR="00A37E75" w:rsidRDefault="00A37E75" w:rsidP="00A37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328D917" w14:textId="4E7F0CD0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3,3</w:t>
            </w:r>
          </w:p>
        </w:tc>
      </w:tr>
      <w:tr w:rsidR="00A37E75" w14:paraId="3B794933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1B87A6B" w14:textId="33F27FBB" w:rsidR="00A37E75" w:rsidRDefault="00A37E75" w:rsidP="00A37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D3D1C70" w14:textId="7B1B74E1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-2,0</w:t>
            </w:r>
          </w:p>
        </w:tc>
      </w:tr>
      <w:tr w:rsidR="00A37E75" w14:paraId="59382C2D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6F9F189" w14:textId="1A0191BA" w:rsidR="00A37E75" w:rsidRDefault="00A37E75" w:rsidP="00A37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DB3DD9A" w14:textId="675FDC77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-9,6</w:t>
            </w:r>
          </w:p>
        </w:tc>
      </w:tr>
      <w:tr w:rsidR="00A37E75" w14:paraId="77E9B26A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B03A69E" w14:textId="44D9B082" w:rsidR="00A37E75" w:rsidRDefault="00A37E75" w:rsidP="00A37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61BE74C" w14:textId="63999D77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-5,6</w:t>
            </w:r>
          </w:p>
        </w:tc>
      </w:tr>
      <w:tr w:rsidR="00A37E75" w14:paraId="434CBA51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B6E8EA8" w14:textId="594A2335" w:rsidR="00A37E75" w:rsidRDefault="00A37E75" w:rsidP="00A37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B63B081" w14:textId="4BE7D668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</w:tr>
      <w:tr w:rsidR="00A37E75" w14:paraId="166C4283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1949927" w14:textId="7DA40F2D" w:rsidR="00A37E75" w:rsidRDefault="00A37E75" w:rsidP="00A37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CC4644D" w14:textId="18192348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</w:tr>
      <w:tr w:rsidR="00A37E75" w14:paraId="54D87104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2406192" w14:textId="5786E765" w:rsidR="00A37E75" w:rsidRDefault="00A37E75" w:rsidP="00A37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EC10E8" w14:textId="176B5049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9,9</w:t>
            </w:r>
          </w:p>
        </w:tc>
      </w:tr>
      <w:tr w:rsidR="00A37E75" w14:paraId="1F3CC0CF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E747EB9" w14:textId="4A884BC5" w:rsidR="00A37E75" w:rsidRDefault="00A37E75" w:rsidP="00A37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E31A3" w14:textId="0AF3ACCE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-1,5</w:t>
            </w:r>
          </w:p>
        </w:tc>
      </w:tr>
      <w:tr w:rsidR="00A37E75" w14:paraId="7D4F890A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8BD8E2D" w14:textId="5E27C000" w:rsidR="00A37E75" w:rsidRDefault="00A37E75" w:rsidP="00A37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B045168" w14:textId="41391BB9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3,0</w:t>
            </w:r>
          </w:p>
        </w:tc>
      </w:tr>
      <w:tr w:rsidR="00A37E75" w14:paraId="227AE033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F494BBA" w14:textId="61B528B8" w:rsidR="00A37E75" w:rsidRDefault="00A37E75" w:rsidP="00A37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9EB0B97" w14:textId="46E96D96" w:rsidR="00A37E75" w:rsidRDefault="00A37E75" w:rsidP="00A37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</w:tr>
      <w:tr w:rsidR="00A37E75" w14:paraId="0BE6A55B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EF7BB99" w14:textId="4721298E" w:rsidR="00A37E75" w:rsidRDefault="00A37E75" w:rsidP="00A37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0E4C9D3" w14:textId="041DE41E" w:rsidR="00A37E75" w:rsidRDefault="00A37E75" w:rsidP="00A37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-5,1</w:t>
            </w:r>
          </w:p>
        </w:tc>
      </w:tr>
      <w:tr w:rsidR="00A37E75" w14:paraId="527B00CC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A62503A" w14:textId="743E43AE" w:rsidR="00A37E75" w:rsidRDefault="00A37E75" w:rsidP="00A37E75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8AC9571" w14:textId="09C51776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-6,9</w:t>
            </w:r>
          </w:p>
        </w:tc>
      </w:tr>
      <w:tr w:rsidR="00A37E75" w14:paraId="60ADADCC" w14:textId="77777777" w:rsidTr="006B76AC">
        <w:tc>
          <w:tcPr>
            <w:tcW w:w="705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3DA6B59" w14:textId="7AE81F60" w:rsidR="00A37E75" w:rsidRDefault="00A37E75" w:rsidP="00A37E75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25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D551BFB" w14:textId="6921C50F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-2,8</w:t>
            </w:r>
          </w:p>
        </w:tc>
      </w:tr>
    </w:tbl>
    <w:p w14:paraId="01F15A02" w14:textId="77777777" w:rsidR="00F90C1F" w:rsidRDefault="00F90C1F" w:rsidP="00F90C1F">
      <w:pPr>
        <w:pStyle w:val="--12"/>
        <w:ind w:firstLine="0"/>
        <w:jc w:val="right"/>
        <w:rPr>
          <w:sz w:val="22"/>
          <w:szCs w:val="22"/>
        </w:rPr>
      </w:pPr>
    </w:p>
    <w:p w14:paraId="7B20C265" w14:textId="77777777" w:rsidR="004513FA" w:rsidRDefault="004513FA" w:rsidP="00F90C1F">
      <w:pPr>
        <w:pStyle w:val="--12"/>
        <w:ind w:firstLine="0"/>
        <w:jc w:val="right"/>
        <w:rPr>
          <w:sz w:val="22"/>
          <w:szCs w:val="22"/>
        </w:rPr>
      </w:pPr>
    </w:p>
    <w:p w14:paraId="2316AB9C" w14:textId="77777777" w:rsidR="00F90C1F" w:rsidRDefault="00F90C1F" w:rsidP="00F90C1F">
      <w:pPr>
        <w:pStyle w:val="--12"/>
        <w:ind w:firstLine="0"/>
        <w:jc w:val="right"/>
      </w:pPr>
      <w:r>
        <w:rPr>
          <w:sz w:val="22"/>
          <w:szCs w:val="22"/>
        </w:rPr>
        <w:lastRenderedPageBreak/>
        <w:t>Продовження</w:t>
      </w:r>
    </w:p>
    <w:tbl>
      <w:tblPr>
        <w:tblW w:w="9606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5"/>
        <w:gridCol w:w="2551"/>
      </w:tblGrid>
      <w:tr w:rsidR="006700E9" w14:paraId="3B52D69E" w14:textId="77777777" w:rsidTr="006700E9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hideMark/>
          </w:tcPr>
          <w:p w14:paraId="18A3CBC3" w14:textId="77777777" w:rsidR="004513FA" w:rsidRPr="004513FA" w:rsidRDefault="004513FA" w:rsidP="004513FA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bottom"/>
          </w:tcPr>
          <w:p w14:paraId="5ECCB62E" w14:textId="77777777" w:rsidR="004513FA" w:rsidRPr="004513FA" w:rsidRDefault="004513FA" w:rsidP="0052504C">
            <w:pPr>
              <w:jc w:val="center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 w:rsidRPr="004513FA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Січень</w:t>
            </w:r>
            <w:proofErr w:type="spellEnd"/>
            <w:r w:rsidRPr="004513FA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2026</w:t>
            </w:r>
          </w:p>
          <w:p w14:paraId="6E75E158" w14:textId="77777777" w:rsidR="004513FA" w:rsidRPr="004513FA" w:rsidRDefault="004513FA" w:rsidP="0052504C">
            <w:pPr>
              <w:jc w:val="center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513FA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до </w:t>
            </w:r>
            <w:proofErr w:type="spellStart"/>
            <w:r w:rsidRPr="004513FA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грудня</w:t>
            </w:r>
            <w:proofErr w:type="spellEnd"/>
            <w:r w:rsidRPr="004513FA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2025</w:t>
            </w:r>
          </w:p>
        </w:tc>
      </w:tr>
      <w:tr w:rsidR="00A37E75" w14:paraId="0096F336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64CC8BF" w14:textId="7A840E09" w:rsidR="00A37E75" w:rsidRDefault="00A37E75" w:rsidP="00A37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ABDFC5C" w14:textId="0EC341CE" w:rsidR="00A37E75" w:rsidRDefault="00A37E75" w:rsidP="00A37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</w:tr>
      <w:tr w:rsidR="00A37E75" w14:paraId="045BE722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9FD0DF9" w14:textId="31DE0EB9" w:rsidR="00A37E75" w:rsidRDefault="00A37E75" w:rsidP="00A37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C0DDB81" w14:textId="73C039B9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2,3</w:t>
            </w:r>
          </w:p>
        </w:tc>
      </w:tr>
      <w:tr w:rsidR="00A37E75" w14:paraId="43A087B2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4BEC06B" w14:textId="0752EE49" w:rsidR="00A37E75" w:rsidRDefault="00A37E75" w:rsidP="00A37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4E8A422" w14:textId="30736FC2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A37E75" w14:paraId="0DD71A75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0828D03" w14:textId="02B9A733" w:rsidR="00A37E75" w:rsidRDefault="00A37E75" w:rsidP="00A37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685B4C" w14:textId="57934190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A37E75" w14:paraId="392B5FA4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01EC1FD" w14:textId="415F8842" w:rsidR="00A37E75" w:rsidRDefault="00A37E75" w:rsidP="00A37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04C554" w14:textId="47471438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A37E75" w14:paraId="1DFE4277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000F523" w14:textId="233A7361" w:rsidR="00A37E75" w:rsidRDefault="00A37E75" w:rsidP="00A37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C92265" w14:textId="0CDF7932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A37E75" w14:paraId="08DCC98C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E48A360" w14:textId="1EF0B06D" w:rsidR="00A37E75" w:rsidRDefault="00A37E75" w:rsidP="00A37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3B0730B" w14:textId="74392643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A37E75" w14:paraId="046B43BB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92CA45A" w14:textId="139F3FC3" w:rsidR="00A37E75" w:rsidRDefault="00A37E75" w:rsidP="00A37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A9D5C7" w14:textId="4F7DD3E5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A37E75" w14:paraId="02B354D8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212101D" w14:textId="302302DA" w:rsidR="00A37E75" w:rsidRDefault="00A37E75" w:rsidP="00A37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A00DE56" w14:textId="2936E643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A37E75" w14:paraId="152FB1A0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4CA95F2" w14:textId="5E96CA94" w:rsidR="00A37E75" w:rsidRDefault="00A37E75" w:rsidP="00A37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AE73696" w14:textId="3A2C6BA9" w:rsidR="00A37E75" w:rsidRDefault="00A37E75" w:rsidP="00A37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</w:tr>
      <w:tr w:rsidR="00A37E75" w14:paraId="43C2B4BD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1BE13C6" w14:textId="788DA40B" w:rsidR="00A37E75" w:rsidRDefault="00A37E75" w:rsidP="00A37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4098C2A" w14:textId="552B0BA2" w:rsidR="00A37E75" w:rsidRDefault="00A37E75" w:rsidP="00A37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-0,2</w:t>
            </w:r>
          </w:p>
        </w:tc>
      </w:tr>
      <w:tr w:rsidR="00A37E75" w14:paraId="7A6E3833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1F9C8869" w14:textId="32BEB7FB" w:rsidR="00A37E75" w:rsidRDefault="00A37E75" w:rsidP="00A37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329DE23" w14:textId="6F6A2C80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-0,5</w:t>
            </w:r>
          </w:p>
        </w:tc>
      </w:tr>
      <w:tr w:rsidR="00A37E75" w14:paraId="460BDDF9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16EEB58" w14:textId="25CEF9E8" w:rsidR="00A37E75" w:rsidRDefault="00A37E75" w:rsidP="00A37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4781AF" w14:textId="573A24DB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</w:tr>
      <w:tr w:rsidR="00A37E75" w14:paraId="75CEEAA5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04F6CDA" w14:textId="50FA6001" w:rsidR="00A37E75" w:rsidRDefault="00A37E75" w:rsidP="00A37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20FC768" w14:textId="6CA4D739" w:rsidR="00A37E75" w:rsidRDefault="00A37E75" w:rsidP="00A37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</w:tr>
      <w:tr w:rsidR="00A37E75" w14:paraId="4E35FBB0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E0CAA04" w14:textId="6893CFF6" w:rsidR="00A37E75" w:rsidRDefault="00A37E75" w:rsidP="00A37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6E31F69" w14:textId="0AE1949B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</w:tr>
      <w:tr w:rsidR="00A37E75" w14:paraId="639BFF77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0562DC" w14:textId="0AC43E34" w:rsidR="00A37E75" w:rsidRDefault="00A37E75" w:rsidP="00A37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AE562E" w14:textId="0B0EAB32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</w:tr>
      <w:tr w:rsidR="00A37E75" w14:paraId="4663B1AD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A47402" w14:textId="166B812F" w:rsidR="00A37E75" w:rsidRDefault="00A37E75" w:rsidP="00A37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A0373A1" w14:textId="4CCA4912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2,4</w:t>
            </w:r>
          </w:p>
        </w:tc>
      </w:tr>
      <w:tr w:rsidR="00A37E75" w14:paraId="7CE1B7F4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A41170" w14:textId="16584B35" w:rsidR="00A37E75" w:rsidRDefault="00A37E75" w:rsidP="00A37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63DDC7E" w14:textId="07622251" w:rsidR="00A37E75" w:rsidRDefault="00A37E75" w:rsidP="00A37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</w:tr>
      <w:tr w:rsidR="00A37E75" w14:paraId="20EC20EA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A5AF450" w14:textId="35D9DEC1" w:rsidR="00A37E75" w:rsidRDefault="00A37E75" w:rsidP="00A37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E5B97D4" w14:textId="5ACB2AAE" w:rsidR="00A37E75" w:rsidRDefault="00A37E75" w:rsidP="00A37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3,8</w:t>
            </w:r>
          </w:p>
        </w:tc>
      </w:tr>
      <w:tr w:rsidR="00A37E75" w14:paraId="3250B755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DB77246" w14:textId="70F5B146" w:rsidR="00A37E75" w:rsidRDefault="00A37E75" w:rsidP="00A37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1A7A2ED" w14:textId="3F314A53" w:rsidR="00A37E75" w:rsidRDefault="00A37E75" w:rsidP="00A37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</w:tr>
      <w:tr w:rsidR="00A37E75" w14:paraId="6F41F96D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D9607D3" w14:textId="10E7E784" w:rsidR="00A37E75" w:rsidRDefault="00A37E75" w:rsidP="00A37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FB72296" w14:textId="1D1D68BD" w:rsidR="00A37E75" w:rsidRDefault="00A37E75" w:rsidP="00A37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</w:tr>
      <w:tr w:rsidR="00A37E75" w14:paraId="64E8A98A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10AC135" w14:textId="1CDF7ABB" w:rsidR="00A37E75" w:rsidRDefault="00A37E75" w:rsidP="00A37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4A2FCC6" w14:textId="0C47EC7C" w:rsidR="00A37E75" w:rsidRDefault="00A37E75" w:rsidP="00A37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</w:tr>
      <w:tr w:rsidR="00A37E75" w14:paraId="03265D39" w14:textId="77777777" w:rsidTr="004513FA">
        <w:tc>
          <w:tcPr>
            <w:tcW w:w="7055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CBCFC08" w14:textId="34425D2B" w:rsidR="00A37E75" w:rsidRDefault="00A37E75" w:rsidP="00A37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2551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1DA423" w14:textId="3E481203" w:rsidR="00A37E75" w:rsidRDefault="00A37E75" w:rsidP="00A37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</w:tr>
    </w:tbl>
    <w:p w14:paraId="71D30E26" w14:textId="77777777" w:rsidR="00F90C1F" w:rsidRPr="007A7A68" w:rsidRDefault="00F90C1F" w:rsidP="00F90C1F">
      <w:pPr>
        <w:spacing w:line="216" w:lineRule="auto"/>
        <w:rPr>
          <w:rFonts w:ascii="Calibri" w:hAnsi="Calibri" w:cs="Arial"/>
          <w:color w:val="22517D"/>
          <w:sz w:val="20"/>
          <w:szCs w:val="20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F90C1F" w14:paraId="6D479E50" w14:textId="77777777" w:rsidTr="00A37E75">
        <w:tc>
          <w:tcPr>
            <w:tcW w:w="4890" w:type="dxa"/>
          </w:tcPr>
          <w:p w14:paraId="48D2BBB9" w14:textId="643EA157" w:rsidR="00F90C1F" w:rsidRPr="00A37E75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споживчому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ринку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області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в </w:t>
            </w:r>
            <w:proofErr w:type="spellStart"/>
            <w:r w:rsidR="006700E9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січ</w:t>
            </w:r>
            <w:r w:rsidR="003D19D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і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3D19D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202</w:t>
            </w:r>
            <w:r w:rsidR="006700E9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6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р.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порівняно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попереднім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місяцем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харчування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б</w:t>
            </w:r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езалкогольні</w:t>
            </w:r>
            <w:proofErr w:type="spellEnd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росли</w:t>
            </w:r>
            <w:proofErr w:type="spellEnd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0,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5</w:t>
            </w:r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%. </w:t>
            </w:r>
            <w:proofErr w:type="spellStart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Найбільше</w:t>
            </w:r>
            <w:proofErr w:type="spellEnd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(на 9,9%) </w:t>
            </w:r>
            <w:proofErr w:type="spellStart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подорожчали</w:t>
            </w:r>
            <w:proofErr w:type="spellEnd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овочі</w:t>
            </w:r>
            <w:proofErr w:type="spellEnd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 На 4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4</w:t>
            </w:r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–0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9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підвищилися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переробки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зернових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молоко, </w:t>
            </w:r>
            <w:proofErr w:type="spellStart"/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безалкогольні</w:t>
            </w:r>
            <w:proofErr w:type="spellEnd"/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рибу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риби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фрукти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яловичину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хліб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макаронні</w:t>
            </w:r>
            <w:proofErr w:type="spellEnd"/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вироби</w:t>
            </w:r>
            <w:proofErr w:type="spellEnd"/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соняшникову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олію</w:t>
            </w:r>
            <w:proofErr w:type="spellEnd"/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рис. </w:t>
            </w:r>
            <w:proofErr w:type="spellStart"/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Водночас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</w:t>
            </w:r>
            <w:r w:rsidR="00441E1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9,6%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441E1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подешевшали</w:t>
            </w:r>
            <w:proofErr w:type="spellEnd"/>
            <w:r w:rsidR="00441E1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441E1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яйця</w:t>
            </w:r>
            <w:proofErr w:type="spellEnd"/>
            <w:r w:rsidR="00441E1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r w:rsidR="00441E1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 5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441E1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6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–</w:t>
            </w:r>
            <w:r w:rsidR="006122F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A556BD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1A00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5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 </w:t>
            </w:r>
            <w:proofErr w:type="spellStart"/>
            <w:r w:rsidR="00441E1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знизилися</w:t>
            </w:r>
            <w:proofErr w:type="spellEnd"/>
            <w:r w:rsidR="00441E1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441E1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="00441E1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441E1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 масло</w:t>
            </w:r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r w:rsidR="00E72D1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свинин</w:t>
            </w:r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у</w:t>
            </w:r>
            <w:r w:rsidR="00E72D1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E72D1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м’ясо</w:t>
            </w:r>
            <w:proofErr w:type="spellEnd"/>
            <w:r w:rsidR="00E72D1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72D1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птиці</w:t>
            </w:r>
            <w:proofErr w:type="spellEnd"/>
            <w:r w:rsidR="00E72D1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E72D1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кисломолочн</w:t>
            </w:r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у</w:t>
            </w:r>
            <w:proofErr w:type="spellEnd"/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продукцію</w:t>
            </w:r>
            <w:proofErr w:type="spellEnd"/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E72D1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сир і </w:t>
            </w:r>
            <w:proofErr w:type="spellStart"/>
            <w:r w:rsidR="00E72D1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м’який</w:t>
            </w:r>
            <w:proofErr w:type="spellEnd"/>
            <w:r w:rsidR="00E72D1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сир, 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сметану</w:t>
            </w:r>
            <w:r w:rsidR="001A00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1A00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цукор</w:t>
            </w:r>
            <w:proofErr w:type="spellEnd"/>
            <w:r w:rsidR="006122F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  <w:p w14:paraId="5778729C" w14:textId="77777777" w:rsidR="00F90C1F" w:rsidRPr="007A7A68" w:rsidRDefault="00F90C1F">
            <w:pPr>
              <w:pStyle w:val="af3"/>
              <w:spacing w:after="0"/>
              <w:ind w:left="57" w:firstLine="567"/>
              <w:jc w:val="both"/>
              <w:rPr>
                <w:rFonts w:ascii="Calibri" w:hAnsi="Calibri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42D1B2AC" w14:textId="42AC3EAD" w:rsidR="00F90C1F" w:rsidRPr="00A37E75" w:rsidRDefault="00403606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лкогольні</w:t>
            </w:r>
            <w:proofErr w:type="spellEnd"/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тютюнові</w:t>
            </w:r>
            <w:proofErr w:type="spellEnd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вироби</w:t>
            </w:r>
            <w:proofErr w:type="spellEnd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ідвищилися</w:t>
            </w:r>
            <w:proofErr w:type="spellEnd"/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DD2ACC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що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пов</w:t>
            </w:r>
            <w:r w:rsidR="005D6661" w:rsidRPr="005D666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язано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подорожчанням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тютюнових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виробів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6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  <w:p w14:paraId="01C04ED3" w14:textId="77777777" w:rsidR="00F90C1F" w:rsidRPr="007A7A68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499C9C10" w14:textId="6AB4318F" w:rsidR="00F90C1F" w:rsidRPr="00A37E75" w:rsidRDefault="00EC625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Одяг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і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взуття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подешевшали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5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A35DD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proofErr w:type="spellStart"/>
            <w:r w:rsidR="00A35DD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зокрема</w:t>
            </w:r>
            <w:proofErr w:type="spellEnd"/>
            <w:r w:rsidR="00A35DD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9B2C8D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одяг</w:t>
            </w:r>
            <w:proofErr w:type="spellEnd"/>
            <w:r w:rsidR="009B2C8D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– на </w:t>
            </w:r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6</w:t>
            </w:r>
            <w:r w:rsidR="009B2C8D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2C631D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9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9B2C8D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взуття</w:t>
            </w:r>
            <w:proofErr w:type="spellEnd"/>
            <w:r w:rsidR="009B2C8D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– 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8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  <w:r w:rsidR="00D859AD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</w:p>
          <w:p w14:paraId="181C007D" w14:textId="77777777" w:rsidR="00F90C1F" w:rsidRPr="007A7A68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054B6A65" w14:textId="4F60B7F8" w:rsidR="00F90C1F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транспорт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зросли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9B2C8D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9B2C8D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%, в основному через</w:t>
            </w:r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подорожчання</w:t>
            </w:r>
            <w:proofErr w:type="spellEnd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проїзду</w:t>
            </w:r>
            <w:proofErr w:type="spellEnd"/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в </w:t>
            </w:r>
            <w:proofErr w:type="spellStart"/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залізничному</w:t>
            </w:r>
            <w:proofErr w:type="spellEnd"/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CA6199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та</w:t>
            </w:r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9B2C8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автодорожньо</w:t>
            </w:r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му</w:t>
            </w:r>
            <w:proofErr w:type="spellEnd"/>
            <w:r w:rsidR="009B2C8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9B2C8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пасажирсько</w:t>
            </w:r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му</w:t>
            </w:r>
            <w:proofErr w:type="spellEnd"/>
            <w:r w:rsidR="007131A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7131A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транспорті</w:t>
            </w:r>
            <w:proofErr w:type="spellEnd"/>
            <w:r w:rsidR="009B2C8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5D666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4 і 1,2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відповідно</w:t>
            </w:r>
            <w:proofErr w:type="spellEnd"/>
            <w:r w:rsidR="00CA6199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палива</w:t>
            </w:r>
            <w:proofErr w:type="spellEnd"/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</w:t>
            </w:r>
            <w:r w:rsidR="00CA6199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</w:t>
            </w:r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стил</w:t>
            </w:r>
            <w:proofErr w:type="spellEnd"/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CA6199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– </w:t>
            </w:r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 0,8%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</w:t>
            </w:r>
          </w:p>
          <w:p w14:paraId="29FED416" w14:textId="77777777" w:rsidR="00F90C1F" w:rsidRPr="007A7A68" w:rsidRDefault="00F90C1F">
            <w:pPr>
              <w:jc w:val="both"/>
              <w:rPr>
                <w:rFonts w:ascii="Calibri" w:hAnsi="Calibri"/>
                <w:iCs/>
                <w:color w:val="22517D"/>
                <w:kern w:val="2"/>
                <w:sz w:val="20"/>
                <w:szCs w:val="20"/>
                <w:u w:val="single"/>
                <w:lang w:val="ru-RU"/>
                <w14:ligatures w14:val="standardContextual"/>
              </w:rPr>
            </w:pPr>
          </w:p>
          <w:p w14:paraId="301B1381" w14:textId="4C42C30F" w:rsidR="00A37E75" w:rsidRPr="00CA6199" w:rsidRDefault="00CA6199" w:rsidP="00914F79">
            <w:pPr>
              <w:ind w:left="34" w:firstLine="567"/>
              <w:jc w:val="both"/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CA619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У </w:t>
            </w:r>
            <w:proofErr w:type="spellStart"/>
            <w:r w:rsidRPr="00CA619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сфері</w:t>
            </w:r>
            <w:proofErr w:type="spellEnd"/>
            <w:r w:rsidRPr="00CA619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CA619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зв’язку</w:t>
            </w:r>
            <w:proofErr w:type="spellEnd"/>
            <w:r w:rsidRPr="00CA619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зросли</w:t>
            </w:r>
            <w:proofErr w:type="spellEnd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3,8%, </w:t>
            </w:r>
            <w:proofErr w:type="spellStart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що</w:t>
            </w:r>
            <w:proofErr w:type="spellEnd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пов</w:t>
            </w:r>
            <w:r w:rsidR="00914F79" w:rsidRP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язано</w:t>
            </w:r>
            <w:proofErr w:type="spellEnd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під</w:t>
            </w:r>
            <w:r w:rsidR="00D8515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</w:t>
            </w:r>
            <w:bookmarkStart w:id="1" w:name="_GoBack"/>
            <w:bookmarkEnd w:id="1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ищенням</w:t>
            </w:r>
            <w:proofErr w:type="spellEnd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тарифів</w:t>
            </w:r>
            <w:proofErr w:type="spellEnd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місцевий</w:t>
            </w:r>
            <w:proofErr w:type="spellEnd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телефонний</w:t>
            </w:r>
            <w:proofErr w:type="spellEnd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зв</w:t>
            </w:r>
            <w:r w:rsidR="00914F79" w:rsidRP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язок</w:t>
            </w:r>
            <w:proofErr w:type="spellEnd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7A7A68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33,0%</w:t>
            </w:r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мобільний</w:t>
            </w:r>
            <w:proofErr w:type="spellEnd"/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зв</w:t>
            </w:r>
            <w:r w:rsidR="00914F79" w:rsidRPr="001600E0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язок</w:t>
            </w:r>
            <w:proofErr w:type="spellEnd"/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6,1%.</w:t>
            </w:r>
          </w:p>
          <w:p w14:paraId="393D53E6" w14:textId="77777777" w:rsidR="00A37E75" w:rsidRPr="00EC625F" w:rsidRDefault="00A37E75">
            <w:pPr>
              <w:jc w:val="both"/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u w:val="single"/>
                <w:lang w:val="ru-RU"/>
                <w14:ligatures w14:val="standardContextual"/>
              </w:rPr>
            </w:pPr>
          </w:p>
        </w:tc>
        <w:tc>
          <w:tcPr>
            <w:tcW w:w="4749" w:type="dxa"/>
          </w:tcPr>
          <w:p w14:paraId="00C862AB" w14:textId="77777777" w:rsidR="00F90C1F" w:rsidRDefault="00F90C1F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lastRenderedPageBreak/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харчування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</w:p>
          <w:p w14:paraId="227DF1DF" w14:textId="77777777" w:rsidR="00F90C1F" w:rsidRDefault="00F90C1F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та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напої</w:t>
            </w:r>
            <w:proofErr w:type="spellEnd"/>
          </w:p>
          <w:p w14:paraId="54B4B0E2" w14:textId="77777777" w:rsidR="00F90C1F" w:rsidRDefault="00F90C1F">
            <w:pPr>
              <w:ind w:left="3" w:hanging="3"/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у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32F2AE46" w14:textId="4CF6FCD3" w:rsidR="00F90C1F" w:rsidRDefault="00F90C1F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14976F38" wp14:editId="54191BAD">
                  <wp:extent cx="3009900" cy="1130300"/>
                  <wp:effectExtent l="0" t="0" r="0" b="0"/>
                  <wp:docPr id="3" name="Діагра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житло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, воду,</w:t>
            </w:r>
          </w:p>
          <w:p w14:paraId="23147F42" w14:textId="77777777" w:rsidR="00F90C1F" w:rsidRDefault="00F90C1F">
            <w:pPr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електроенергію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, газ та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інші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види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палива</w:t>
            </w:r>
            <w:proofErr w:type="spellEnd"/>
          </w:p>
          <w:p w14:paraId="6462D9EC" w14:textId="77777777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у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3F4F0F7F" w14:textId="1152BEA1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10927457" wp14:editId="1642B607">
                  <wp:extent cx="3009900" cy="1130300"/>
                  <wp:effectExtent l="0" t="0" r="0" b="0"/>
                  <wp:docPr id="2" name="Діагра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  <w:p w14:paraId="57125008" w14:textId="77777777" w:rsidR="00F90C1F" w:rsidRDefault="00F90C1F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транспорт</w:t>
            </w:r>
          </w:p>
          <w:p w14:paraId="74951506" w14:textId="77777777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у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16548A62" w14:textId="5A3C64BA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5D85DB89" wp14:editId="3184041A">
                  <wp:extent cx="3009900" cy="1130300"/>
                  <wp:effectExtent l="0" t="0" r="0" b="0"/>
                  <wp:docPr id="1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  <w:p w14:paraId="444D872D" w14:textId="77777777" w:rsidR="00F90C1F" w:rsidRDefault="00F90C1F">
            <w:pPr>
              <w:jc w:val="right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</w:p>
        </w:tc>
      </w:tr>
      <w:tr w:rsidR="00A37E75" w:rsidRPr="006E3757" w14:paraId="48F7922B" w14:textId="77777777" w:rsidTr="009B6CE8">
        <w:tc>
          <w:tcPr>
            <w:tcW w:w="9639" w:type="dxa"/>
            <w:gridSpan w:val="2"/>
            <w:hideMark/>
          </w:tcPr>
          <w:p w14:paraId="5FAE9E30" w14:textId="77777777" w:rsidR="00A37E75" w:rsidRPr="006E3757" w:rsidRDefault="00A37E75" w:rsidP="00A37E75">
            <w:pPr>
              <w:numPr>
                <w:ilvl w:val="0"/>
                <w:numId w:val="4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A37E75" w:rsidRPr="006E3757" w14:paraId="131CADA8" w14:textId="77777777" w:rsidTr="009B6CE8">
        <w:tc>
          <w:tcPr>
            <w:tcW w:w="9639" w:type="dxa"/>
            <w:gridSpan w:val="2"/>
          </w:tcPr>
          <w:p w14:paraId="5CAF69B0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50767E9F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6CE47300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A37E75" w:rsidRPr="006E3757" w14:paraId="56850BBA" w14:textId="77777777" w:rsidTr="009B6CE8">
        <w:tc>
          <w:tcPr>
            <w:tcW w:w="9639" w:type="dxa"/>
            <w:gridSpan w:val="2"/>
            <w:hideMark/>
          </w:tcPr>
          <w:p w14:paraId="4E3EB3D0" w14:textId="77777777" w:rsidR="00A37E75" w:rsidRPr="006E3757" w:rsidRDefault="00A37E75" w:rsidP="00A37E75">
            <w:pPr>
              <w:numPr>
                <w:ilvl w:val="0"/>
                <w:numId w:val="3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A37E75" w:rsidRPr="006E3757" w14:paraId="67AD1FC9" w14:textId="77777777" w:rsidTr="009B6CE8">
        <w:tc>
          <w:tcPr>
            <w:tcW w:w="9639" w:type="dxa"/>
            <w:gridSpan w:val="2"/>
          </w:tcPr>
          <w:p w14:paraId="491FBE41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1D29BBA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A37E75" w:rsidRPr="006E3757" w14:paraId="350DBA34" w14:textId="77777777" w:rsidTr="009B6CE8">
        <w:tc>
          <w:tcPr>
            <w:tcW w:w="9639" w:type="dxa"/>
            <w:gridSpan w:val="2"/>
            <w:hideMark/>
          </w:tcPr>
          <w:p w14:paraId="77A94D77" w14:textId="77777777" w:rsidR="00A37E75" w:rsidRPr="006E3757" w:rsidRDefault="00A37E75" w:rsidP="00A37E75">
            <w:pPr>
              <w:numPr>
                <w:ilvl w:val="0"/>
                <w:numId w:val="3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A37E75" w:rsidRPr="006E3757" w14:paraId="47F5DC8C" w14:textId="77777777" w:rsidTr="009B6CE8">
        <w:tc>
          <w:tcPr>
            <w:tcW w:w="9639" w:type="dxa"/>
            <w:gridSpan w:val="2"/>
          </w:tcPr>
          <w:p w14:paraId="6AAD2CFD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</w:t>
            </w:r>
            <w:proofErr w:type="spellStart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Євростатом</w:t>
            </w:r>
            <w:proofErr w:type="spellEnd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10A3C66C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75FFCEE9" w14:textId="77777777" w:rsidR="00A37E75" w:rsidRDefault="00A37E75" w:rsidP="009B6CE8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A71E09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hyperlink r:id="rId23" w:history="1"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https://stat.gov.ua/sites/default/files/migration/files/2023/190_2023/190_2023.pdf</w:t>
              </w:r>
            </w:hyperlink>
            <w:r w:rsidRPr="0081707A">
              <w:rPr>
                <w:rFonts w:asciiTheme="minorHAnsi" w:hAnsiTheme="minorHAnsi" w:cstheme="minorHAnsi"/>
                <w:color w:val="22517D"/>
                <w:sz w:val="22"/>
                <w:szCs w:val="22"/>
                <w:u w:val="single"/>
              </w:rPr>
              <w:t>.</w:t>
            </w:r>
          </w:p>
          <w:p w14:paraId="71B1AAE4" w14:textId="77777777" w:rsidR="00A37E75" w:rsidRPr="006E3757" w:rsidRDefault="00A37E75" w:rsidP="009B6CE8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A37E75" w:rsidRPr="006E3757" w14:paraId="22627015" w14:textId="77777777" w:rsidTr="009B6CE8">
        <w:tc>
          <w:tcPr>
            <w:tcW w:w="9639" w:type="dxa"/>
            <w:gridSpan w:val="2"/>
            <w:hideMark/>
          </w:tcPr>
          <w:p w14:paraId="3E1ABA1B" w14:textId="77777777" w:rsidR="00A37E75" w:rsidRPr="006E3757" w:rsidRDefault="00A37E75" w:rsidP="00A37E75">
            <w:pPr>
              <w:numPr>
                <w:ilvl w:val="0"/>
                <w:numId w:val="3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A37E75" w:rsidRPr="006E3757" w14:paraId="088C4542" w14:textId="77777777" w:rsidTr="009B6CE8">
        <w:tc>
          <w:tcPr>
            <w:tcW w:w="9639" w:type="dxa"/>
            <w:gridSpan w:val="2"/>
            <w:hideMark/>
          </w:tcPr>
          <w:p w14:paraId="35729A0A" w14:textId="77777777" w:rsidR="00A37E75" w:rsidRPr="006E3757" w:rsidRDefault="00A37E75" w:rsidP="009B6CE8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08499D5E" w14:textId="77777777" w:rsidR="00A37E75" w:rsidRPr="006E3757" w:rsidRDefault="00A37E75" w:rsidP="00A37E75">
      <w:pPr>
        <w:pStyle w:val="--12"/>
        <w:ind w:firstLine="0"/>
        <w:rPr>
          <w:b/>
        </w:rPr>
      </w:pPr>
    </w:p>
    <w:p w14:paraId="0B26CEF5" w14:textId="77777777" w:rsidR="00A37E75" w:rsidRDefault="00A37E75" w:rsidP="00A37E75">
      <w:pPr>
        <w:pStyle w:val="--12"/>
        <w:ind w:firstLine="0"/>
        <w:rPr>
          <w:b/>
        </w:rPr>
      </w:pPr>
    </w:p>
    <w:p w14:paraId="6ADE3C22" w14:textId="77777777" w:rsidR="00A37E75" w:rsidRPr="001551BB" w:rsidRDefault="00A37E75" w:rsidP="00A37E75">
      <w:pPr>
        <w:pStyle w:val="--12"/>
        <w:ind w:firstLine="0"/>
        <w:rPr>
          <w:b/>
        </w:rPr>
      </w:pPr>
    </w:p>
    <w:p w14:paraId="6AB5C7DB" w14:textId="77777777" w:rsidR="00A37E75" w:rsidRDefault="00A37E75" w:rsidP="00A37E75">
      <w:pPr>
        <w:pStyle w:val="--12"/>
        <w:ind w:firstLine="0"/>
      </w:pPr>
    </w:p>
    <w:p w14:paraId="2C149EBE" w14:textId="77777777" w:rsidR="002B71C5" w:rsidRDefault="002B71C5" w:rsidP="00A37E75">
      <w:pPr>
        <w:pStyle w:val="--12"/>
        <w:ind w:firstLine="0"/>
      </w:pPr>
    </w:p>
    <w:p w14:paraId="5AC0FECA" w14:textId="77777777" w:rsidR="00A37E75" w:rsidRDefault="00A37E75" w:rsidP="00A37E75">
      <w:pPr>
        <w:pStyle w:val="--12"/>
        <w:ind w:firstLine="0"/>
      </w:pPr>
    </w:p>
    <w:p w14:paraId="38FB6A3E" w14:textId="77777777" w:rsidR="00A37E75" w:rsidRDefault="00A37E75" w:rsidP="00A37E75">
      <w:pPr>
        <w:pStyle w:val="--12"/>
        <w:ind w:firstLine="0"/>
      </w:pPr>
    </w:p>
    <w:p w14:paraId="50601248" w14:textId="77777777" w:rsidR="00084A52" w:rsidRDefault="00084A52" w:rsidP="00A37E75">
      <w:pPr>
        <w:pStyle w:val="--12"/>
        <w:ind w:firstLine="0"/>
      </w:pPr>
    </w:p>
    <w:p w14:paraId="10AA40CE" w14:textId="77777777" w:rsidR="00084A52" w:rsidRDefault="00084A52" w:rsidP="00A37E75">
      <w:pPr>
        <w:pStyle w:val="--12"/>
        <w:ind w:firstLine="0"/>
      </w:pPr>
    </w:p>
    <w:p w14:paraId="7891147B" w14:textId="77777777" w:rsidR="00084A52" w:rsidRDefault="00084A52" w:rsidP="00A37E75">
      <w:pPr>
        <w:pStyle w:val="--12"/>
        <w:ind w:firstLine="0"/>
      </w:pPr>
    </w:p>
    <w:p w14:paraId="70CBB50E" w14:textId="77777777" w:rsidR="00084A52" w:rsidRDefault="00084A52" w:rsidP="00A37E75">
      <w:pPr>
        <w:pStyle w:val="--12"/>
        <w:ind w:firstLine="0"/>
      </w:pPr>
    </w:p>
    <w:p w14:paraId="51EDDC63" w14:textId="77777777" w:rsidR="00084A52" w:rsidRDefault="00084A52" w:rsidP="00A37E75">
      <w:pPr>
        <w:pStyle w:val="--12"/>
        <w:ind w:firstLine="0"/>
      </w:pPr>
    </w:p>
    <w:p w14:paraId="6E84E0D8" w14:textId="77777777" w:rsidR="00084A52" w:rsidRDefault="00084A52" w:rsidP="00A37E75">
      <w:pPr>
        <w:pStyle w:val="--12"/>
        <w:ind w:firstLine="0"/>
      </w:pPr>
    </w:p>
    <w:p w14:paraId="7AB2BFA4" w14:textId="77777777" w:rsidR="00084A52" w:rsidRDefault="00084A52" w:rsidP="00A37E75">
      <w:pPr>
        <w:pStyle w:val="--12"/>
        <w:ind w:firstLine="0"/>
      </w:pPr>
    </w:p>
    <w:p w14:paraId="46EA86CF" w14:textId="77777777" w:rsidR="00084A52" w:rsidRDefault="00084A52" w:rsidP="00A37E75">
      <w:pPr>
        <w:pStyle w:val="--12"/>
        <w:ind w:firstLine="0"/>
      </w:pPr>
    </w:p>
    <w:p w14:paraId="62A4ED82" w14:textId="77777777" w:rsidR="00084A52" w:rsidRDefault="00084A52" w:rsidP="00084A52">
      <w:pPr>
        <w:pStyle w:val="--12"/>
        <w:ind w:firstLine="0"/>
      </w:pPr>
    </w:p>
    <w:p w14:paraId="6C388A89" w14:textId="77777777" w:rsidR="00084A52" w:rsidRDefault="00084A52" w:rsidP="00084A52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084A52" w14:paraId="449B8594" w14:textId="77777777" w:rsidTr="003C4BAC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5027A2B4" w14:textId="77777777" w:rsidR="00084A52" w:rsidRDefault="00084A52" w:rsidP="003C4BAC">
            <w:pPr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Довідка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: тел. (0342) 79 20 93 </w:t>
            </w:r>
          </w:p>
          <w:p w14:paraId="1B99B3D3" w14:textId="77777777" w:rsidR="00084A52" w:rsidRDefault="00084A52" w:rsidP="003C4BAC">
            <w:pPr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Більше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інформації</w:t>
            </w:r>
            <w:proofErr w:type="spellEnd"/>
            <w:r>
              <w:rPr>
                <w:rFonts w:ascii="Calibri Light" w:hAnsi="Calibri Light" w:cs="Calibri Light"/>
                <w:color w:val="767171" w:themeColor="background2" w:themeShade="80"/>
                <w:kern w:val="2"/>
                <w:sz w:val="20"/>
                <w:szCs w:val="20"/>
                <w:lang w:val="ru-RU"/>
                <w14:ligatures w14:val="standardContextual"/>
              </w:rPr>
              <w:t xml:space="preserve">: </w:t>
            </w:r>
            <w:hyperlink r:id="rId24" w:history="1">
              <w:r w:rsidRPr="00AE4859">
                <w:rPr>
                  <w:rStyle w:val="a5"/>
                  <w:rFonts w:ascii="Calibri Light" w:hAnsi="Calibri Light" w:cs="Calibri Light"/>
                  <w:kern w:val="2"/>
                  <w:sz w:val="20"/>
                  <w:szCs w:val="20"/>
                  <w:lang w:val="ru-RU"/>
                  <w14:ligatures w14:val="standardContextual"/>
                </w:rPr>
                <w:t>https://www.ifstat.gov.ua/EX_IN/EX-CINY.HTM</w:t>
              </w:r>
            </w:hyperlink>
          </w:p>
          <w:p w14:paraId="729476B9" w14:textId="77777777" w:rsidR="00084A52" w:rsidRDefault="00084A52" w:rsidP="003C4BAC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© Головне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управління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статистики у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Івано-Франківській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області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, 2026</w:t>
            </w:r>
          </w:p>
        </w:tc>
      </w:tr>
    </w:tbl>
    <w:p w14:paraId="23043EF5" w14:textId="77777777" w:rsidR="00A37E75" w:rsidRDefault="00A37E75" w:rsidP="00084A52">
      <w:pPr>
        <w:pStyle w:val="--12"/>
        <w:ind w:firstLine="0"/>
      </w:pPr>
    </w:p>
    <w:sectPr w:rsidR="00A37E75" w:rsidSect="004513FA">
      <w:footerReference w:type="even" r:id="rId25"/>
      <w:footerReference w:type="default" r:id="rId26"/>
      <w:type w:val="continuous"/>
      <w:pgSz w:w="11906" w:h="16838"/>
      <w:pgMar w:top="851" w:right="113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CC79B" w14:textId="77777777" w:rsidR="00AB7ED7" w:rsidRDefault="00AB7ED7" w:rsidP="005345A4">
      <w:r>
        <w:separator/>
      </w:r>
    </w:p>
  </w:endnote>
  <w:endnote w:type="continuationSeparator" w:id="0">
    <w:p w14:paraId="592024A6" w14:textId="77777777" w:rsidR="00AB7ED7" w:rsidRDefault="00AB7ED7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1405642726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699895479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158209412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D85159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9EA92" w14:textId="77777777" w:rsidR="00AB7ED7" w:rsidRDefault="00AB7ED7" w:rsidP="005345A4">
      <w:r>
        <w:separator/>
      </w:r>
    </w:p>
  </w:footnote>
  <w:footnote w:type="continuationSeparator" w:id="0">
    <w:p w14:paraId="7C132020" w14:textId="77777777" w:rsidR="00AB7ED7" w:rsidRDefault="00AB7ED7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40.7pt;height:40.7pt;visibility:visible;mso-wrap-style:square" o:bullet="t">
        <v:imagedata r:id="rId1" o:title=""/>
      </v:shape>
    </w:pict>
  </w:numPicBullet>
  <w:numPicBullet w:numPicBulletId="1">
    <w:pict>
      <v:shape id="_x0000_i1087" type="#_x0000_t75" style="width:36.95pt;height:36.95pt;visibility:visible;mso-wrap-style:square" o:bullet="t">
        <v:imagedata r:id="rId2" o:title=""/>
      </v:shape>
    </w:pict>
  </w:numPicBullet>
  <w:numPicBullet w:numPicBulletId="2">
    <w:pict>
      <v:shape id="_x0000_i1088" type="#_x0000_t75" style="width:36.95pt;height:36.95pt;visibility:visible;mso-wrap-style:square" o:bullet="t">
        <v:imagedata r:id="rId3" o:title=""/>
      </v:shape>
    </w:pict>
  </w:numPicBullet>
  <w:numPicBullet w:numPicBulletId="3">
    <w:pict>
      <v:shape id="_x0000_i1089" type="#_x0000_t75" style="width:36.95pt;height:36.95pt;visibility:visible;mso-wrap-style:square" o:bullet="t">
        <v:imagedata r:id="rId4" o:title=""/>
      </v:shape>
    </w:pict>
  </w:numPicBullet>
  <w:numPicBullet w:numPicBulletId="4">
    <w:pict>
      <v:shape id="_x0000_i1090" type="#_x0000_t75" style="width:36.95pt;height:36.95pt;visibility:visible;mso-wrap-style:square" o:bullet="t">
        <v:imagedata r:id="rId5" o:title=""/>
      </v:shape>
    </w:pict>
  </w:numPicBullet>
  <w:numPicBullet w:numPicBulletId="5">
    <w:pict>
      <v:shape id="_x0000_i1091" type="#_x0000_t75" style="width:36.95pt;height:36.95pt;visibility:visible;mso-wrap-style:square" o:bullet="t">
        <v:imagedata r:id="rId6" o:title=""/>
      </v:shape>
    </w:pict>
  </w:numPicBullet>
  <w:numPicBullet w:numPicBulletId="6">
    <w:pict>
      <v:shape id="_x0000_i1092" type="#_x0000_t75" style="width:36.95pt;height:36.95pt;visibility:visible;mso-wrap-style:square" o:bullet="t">
        <v:imagedata r:id="rId7" o:title=""/>
      </v:shape>
    </w:pict>
  </w:numPicBullet>
  <w:numPicBullet w:numPicBulletId="7">
    <w:pict>
      <v:shape id="_x0000_i1093" type="#_x0000_t75" style="width:36.95pt;height:36.95pt;visibility:visible;mso-wrap-style:square" o:bullet="t">
        <v:imagedata r:id="rId8" o:title=""/>
      </v:shape>
    </w:pict>
  </w:numPicBullet>
  <w:numPicBullet w:numPicBulletId="8">
    <w:pict>
      <v:shape id="_x0000_i1094" type="#_x0000_t75" style="width:36.95pt;height:36.95pt;visibility:visible;mso-wrap-style:square" o:bullet="t">
        <v:imagedata r:id="rId9" o:title=""/>
      </v:shape>
    </w:pict>
  </w:numPicBullet>
  <w:numPicBullet w:numPicBulletId="9">
    <w:pict>
      <v:shape id="_x0000_i1095" type="#_x0000_t75" style="width:36.95pt;height:36.95pt;visibility:visible;mso-wrap-style:square" o:bullet="t">
        <v:imagedata r:id="rId10" o:title=""/>
      </v:shape>
    </w:pict>
  </w:numPicBullet>
  <w:numPicBullet w:numPicBulletId="10">
    <w:pict>
      <v:shape id="_x0000_i1096" type="#_x0000_t75" style="width:36.95pt;height:36.95pt;visibility:visible;mso-wrap-style:square" o:bullet="t">
        <v:imagedata r:id="rId11" o:title=""/>
      </v:shape>
    </w:pict>
  </w:numPicBullet>
  <w:numPicBullet w:numPicBulletId="11">
    <w:pict>
      <v:shape id="_x0000_i1097" type="#_x0000_t75" alt="Конверт" style="width:8.75pt;height:8.7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0C69"/>
    <w:rsid w:val="00001F8D"/>
    <w:rsid w:val="000035CF"/>
    <w:rsid w:val="000044A0"/>
    <w:rsid w:val="00005F9C"/>
    <w:rsid w:val="0000673B"/>
    <w:rsid w:val="00010FE8"/>
    <w:rsid w:val="00014871"/>
    <w:rsid w:val="00015006"/>
    <w:rsid w:val="00015105"/>
    <w:rsid w:val="000161D7"/>
    <w:rsid w:val="00020772"/>
    <w:rsid w:val="00020B7E"/>
    <w:rsid w:val="0002684B"/>
    <w:rsid w:val="000270CF"/>
    <w:rsid w:val="00033FB7"/>
    <w:rsid w:val="00036C25"/>
    <w:rsid w:val="00036E1E"/>
    <w:rsid w:val="000373EF"/>
    <w:rsid w:val="00041033"/>
    <w:rsid w:val="00041E05"/>
    <w:rsid w:val="00045C8C"/>
    <w:rsid w:val="0004774D"/>
    <w:rsid w:val="00062027"/>
    <w:rsid w:val="00062038"/>
    <w:rsid w:val="00062D72"/>
    <w:rsid w:val="0007552B"/>
    <w:rsid w:val="000802BE"/>
    <w:rsid w:val="000821E4"/>
    <w:rsid w:val="00083C4E"/>
    <w:rsid w:val="00084A52"/>
    <w:rsid w:val="00084EE6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3CC4"/>
    <w:rsid w:val="000C43BC"/>
    <w:rsid w:val="000C747A"/>
    <w:rsid w:val="000D16E1"/>
    <w:rsid w:val="000D3CD1"/>
    <w:rsid w:val="000D4C6A"/>
    <w:rsid w:val="000D5FBC"/>
    <w:rsid w:val="000D6D0E"/>
    <w:rsid w:val="000D7438"/>
    <w:rsid w:val="000D7EE3"/>
    <w:rsid w:val="000E0309"/>
    <w:rsid w:val="000E0CE2"/>
    <w:rsid w:val="000E1DCB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1BB"/>
    <w:rsid w:val="001552BC"/>
    <w:rsid w:val="001553ED"/>
    <w:rsid w:val="00156C7E"/>
    <w:rsid w:val="001600E0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909B1"/>
    <w:rsid w:val="0019449F"/>
    <w:rsid w:val="001972A8"/>
    <w:rsid w:val="00197F57"/>
    <w:rsid w:val="001A0088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51B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0B24"/>
    <w:rsid w:val="002442E9"/>
    <w:rsid w:val="00246029"/>
    <w:rsid w:val="002530AB"/>
    <w:rsid w:val="0025430D"/>
    <w:rsid w:val="00254775"/>
    <w:rsid w:val="00256FF8"/>
    <w:rsid w:val="00260148"/>
    <w:rsid w:val="00260BB1"/>
    <w:rsid w:val="00264E6D"/>
    <w:rsid w:val="00273B54"/>
    <w:rsid w:val="00275999"/>
    <w:rsid w:val="002823AD"/>
    <w:rsid w:val="0028317C"/>
    <w:rsid w:val="0028485E"/>
    <w:rsid w:val="00287D35"/>
    <w:rsid w:val="002902C3"/>
    <w:rsid w:val="002922F3"/>
    <w:rsid w:val="0029251B"/>
    <w:rsid w:val="00294482"/>
    <w:rsid w:val="0029591D"/>
    <w:rsid w:val="002A1436"/>
    <w:rsid w:val="002A2A29"/>
    <w:rsid w:val="002A31AA"/>
    <w:rsid w:val="002A7545"/>
    <w:rsid w:val="002B71C5"/>
    <w:rsid w:val="002C18E4"/>
    <w:rsid w:val="002C19E3"/>
    <w:rsid w:val="002C265E"/>
    <w:rsid w:val="002C3148"/>
    <w:rsid w:val="002C4768"/>
    <w:rsid w:val="002C48B3"/>
    <w:rsid w:val="002C5DB4"/>
    <w:rsid w:val="002C631D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51CB"/>
    <w:rsid w:val="002F710E"/>
    <w:rsid w:val="002F7374"/>
    <w:rsid w:val="002F7990"/>
    <w:rsid w:val="00301D72"/>
    <w:rsid w:val="00303464"/>
    <w:rsid w:val="003062A4"/>
    <w:rsid w:val="00311CEB"/>
    <w:rsid w:val="0031286A"/>
    <w:rsid w:val="003138F7"/>
    <w:rsid w:val="00314929"/>
    <w:rsid w:val="00315C2A"/>
    <w:rsid w:val="0031743B"/>
    <w:rsid w:val="0032141A"/>
    <w:rsid w:val="0032192A"/>
    <w:rsid w:val="00321E4D"/>
    <w:rsid w:val="00322715"/>
    <w:rsid w:val="00323907"/>
    <w:rsid w:val="003246F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67D72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FFC"/>
    <w:rsid w:val="003A2E2D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6742"/>
    <w:rsid w:val="003B798B"/>
    <w:rsid w:val="003C14B3"/>
    <w:rsid w:val="003C3D99"/>
    <w:rsid w:val="003C50DA"/>
    <w:rsid w:val="003C6F2B"/>
    <w:rsid w:val="003D03D1"/>
    <w:rsid w:val="003D09E7"/>
    <w:rsid w:val="003D19D1"/>
    <w:rsid w:val="003D1E35"/>
    <w:rsid w:val="003D200C"/>
    <w:rsid w:val="003D237C"/>
    <w:rsid w:val="003D5C18"/>
    <w:rsid w:val="003E2BEA"/>
    <w:rsid w:val="003E2F76"/>
    <w:rsid w:val="003E5A8D"/>
    <w:rsid w:val="003E7A35"/>
    <w:rsid w:val="003F219A"/>
    <w:rsid w:val="003F5244"/>
    <w:rsid w:val="003F7681"/>
    <w:rsid w:val="00401D3F"/>
    <w:rsid w:val="00403106"/>
    <w:rsid w:val="004036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1E18"/>
    <w:rsid w:val="0044467E"/>
    <w:rsid w:val="00446B62"/>
    <w:rsid w:val="004474B5"/>
    <w:rsid w:val="004506F4"/>
    <w:rsid w:val="00450A8B"/>
    <w:rsid w:val="004513FA"/>
    <w:rsid w:val="00452E6F"/>
    <w:rsid w:val="0045497D"/>
    <w:rsid w:val="00455B4B"/>
    <w:rsid w:val="00457B82"/>
    <w:rsid w:val="00463544"/>
    <w:rsid w:val="00464B9F"/>
    <w:rsid w:val="004650F4"/>
    <w:rsid w:val="0046766F"/>
    <w:rsid w:val="004711A9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98E"/>
    <w:rsid w:val="004A7FF8"/>
    <w:rsid w:val="004B14E2"/>
    <w:rsid w:val="004B348D"/>
    <w:rsid w:val="004B5E21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5551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04C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6C5D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C680C"/>
    <w:rsid w:val="005D0BEE"/>
    <w:rsid w:val="005D115F"/>
    <w:rsid w:val="005D225C"/>
    <w:rsid w:val="005D3C45"/>
    <w:rsid w:val="005D4CB7"/>
    <w:rsid w:val="005D6661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14A0"/>
    <w:rsid w:val="006035D6"/>
    <w:rsid w:val="00603D32"/>
    <w:rsid w:val="006057B5"/>
    <w:rsid w:val="00611927"/>
    <w:rsid w:val="0061206A"/>
    <w:rsid w:val="00612284"/>
    <w:rsid w:val="006122FC"/>
    <w:rsid w:val="00612DDA"/>
    <w:rsid w:val="00613FC2"/>
    <w:rsid w:val="00620AE7"/>
    <w:rsid w:val="00625F53"/>
    <w:rsid w:val="00626BC1"/>
    <w:rsid w:val="00627D64"/>
    <w:rsid w:val="00636A5D"/>
    <w:rsid w:val="00641EE2"/>
    <w:rsid w:val="00642391"/>
    <w:rsid w:val="00643307"/>
    <w:rsid w:val="006438DC"/>
    <w:rsid w:val="00644B98"/>
    <w:rsid w:val="00651839"/>
    <w:rsid w:val="00653544"/>
    <w:rsid w:val="00656AB2"/>
    <w:rsid w:val="00663AD3"/>
    <w:rsid w:val="006643E9"/>
    <w:rsid w:val="0066610D"/>
    <w:rsid w:val="006700E9"/>
    <w:rsid w:val="0067167D"/>
    <w:rsid w:val="0067354A"/>
    <w:rsid w:val="00680879"/>
    <w:rsid w:val="00680B3F"/>
    <w:rsid w:val="0068157D"/>
    <w:rsid w:val="00682DF1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B76AC"/>
    <w:rsid w:val="006C27BC"/>
    <w:rsid w:val="006C3774"/>
    <w:rsid w:val="006C3B3C"/>
    <w:rsid w:val="006C779A"/>
    <w:rsid w:val="006D0034"/>
    <w:rsid w:val="006D06C7"/>
    <w:rsid w:val="006D1B8F"/>
    <w:rsid w:val="006D3772"/>
    <w:rsid w:val="006D3D0B"/>
    <w:rsid w:val="006D6AEF"/>
    <w:rsid w:val="006D7347"/>
    <w:rsid w:val="006E032D"/>
    <w:rsid w:val="006E079C"/>
    <w:rsid w:val="006E33AA"/>
    <w:rsid w:val="006E3757"/>
    <w:rsid w:val="006E60CE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1399"/>
    <w:rsid w:val="007131AB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37AF9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5525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00"/>
    <w:rsid w:val="007920ED"/>
    <w:rsid w:val="00795BB0"/>
    <w:rsid w:val="007976C0"/>
    <w:rsid w:val="007A7A68"/>
    <w:rsid w:val="007B019E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5B25"/>
    <w:rsid w:val="007E664D"/>
    <w:rsid w:val="007E67C0"/>
    <w:rsid w:val="007E7672"/>
    <w:rsid w:val="007F30C3"/>
    <w:rsid w:val="007F3367"/>
    <w:rsid w:val="007F3AD6"/>
    <w:rsid w:val="007F44DA"/>
    <w:rsid w:val="007F485B"/>
    <w:rsid w:val="007F5741"/>
    <w:rsid w:val="007F73CD"/>
    <w:rsid w:val="007F7E5C"/>
    <w:rsid w:val="00805142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11AD"/>
    <w:rsid w:val="0082180C"/>
    <w:rsid w:val="00823850"/>
    <w:rsid w:val="00824956"/>
    <w:rsid w:val="00825D66"/>
    <w:rsid w:val="00826603"/>
    <w:rsid w:val="00833CA1"/>
    <w:rsid w:val="00837295"/>
    <w:rsid w:val="0083740E"/>
    <w:rsid w:val="00845288"/>
    <w:rsid w:val="00845C42"/>
    <w:rsid w:val="00845F0B"/>
    <w:rsid w:val="00846343"/>
    <w:rsid w:val="00846649"/>
    <w:rsid w:val="00846C6B"/>
    <w:rsid w:val="00851F88"/>
    <w:rsid w:val="00853A4B"/>
    <w:rsid w:val="00854F1C"/>
    <w:rsid w:val="008571A5"/>
    <w:rsid w:val="00857D6C"/>
    <w:rsid w:val="00860C51"/>
    <w:rsid w:val="00860FC1"/>
    <w:rsid w:val="008639B9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5851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6A13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F79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6FEA"/>
    <w:rsid w:val="009408B4"/>
    <w:rsid w:val="00942DE9"/>
    <w:rsid w:val="00944162"/>
    <w:rsid w:val="009442C3"/>
    <w:rsid w:val="00944304"/>
    <w:rsid w:val="00947153"/>
    <w:rsid w:val="00951A2E"/>
    <w:rsid w:val="00951FD3"/>
    <w:rsid w:val="00956B6E"/>
    <w:rsid w:val="00957312"/>
    <w:rsid w:val="00963277"/>
    <w:rsid w:val="00964901"/>
    <w:rsid w:val="00970417"/>
    <w:rsid w:val="0097068B"/>
    <w:rsid w:val="00971AEF"/>
    <w:rsid w:val="00972381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A6EFB"/>
    <w:rsid w:val="009B1DA0"/>
    <w:rsid w:val="009B2C8D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1BC9"/>
    <w:rsid w:val="009F7EBB"/>
    <w:rsid w:val="00A02EA0"/>
    <w:rsid w:val="00A03D04"/>
    <w:rsid w:val="00A06E34"/>
    <w:rsid w:val="00A101EF"/>
    <w:rsid w:val="00A10490"/>
    <w:rsid w:val="00A10657"/>
    <w:rsid w:val="00A1344D"/>
    <w:rsid w:val="00A13A15"/>
    <w:rsid w:val="00A20104"/>
    <w:rsid w:val="00A2296B"/>
    <w:rsid w:val="00A27802"/>
    <w:rsid w:val="00A3186C"/>
    <w:rsid w:val="00A31B85"/>
    <w:rsid w:val="00A33250"/>
    <w:rsid w:val="00A33BCD"/>
    <w:rsid w:val="00A34606"/>
    <w:rsid w:val="00A34987"/>
    <w:rsid w:val="00A34A9C"/>
    <w:rsid w:val="00A35DD1"/>
    <w:rsid w:val="00A35E89"/>
    <w:rsid w:val="00A36402"/>
    <w:rsid w:val="00A37E75"/>
    <w:rsid w:val="00A405C3"/>
    <w:rsid w:val="00A40DDB"/>
    <w:rsid w:val="00A425F0"/>
    <w:rsid w:val="00A516C5"/>
    <w:rsid w:val="00A5186E"/>
    <w:rsid w:val="00A54514"/>
    <w:rsid w:val="00A556BD"/>
    <w:rsid w:val="00A56C6B"/>
    <w:rsid w:val="00A6214C"/>
    <w:rsid w:val="00A64F1A"/>
    <w:rsid w:val="00A66B72"/>
    <w:rsid w:val="00A67BF6"/>
    <w:rsid w:val="00A745A7"/>
    <w:rsid w:val="00A761E9"/>
    <w:rsid w:val="00A811B9"/>
    <w:rsid w:val="00A82DEB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E99"/>
    <w:rsid w:val="00AB50F9"/>
    <w:rsid w:val="00AB610E"/>
    <w:rsid w:val="00AB6859"/>
    <w:rsid w:val="00AB7ED7"/>
    <w:rsid w:val="00AC1363"/>
    <w:rsid w:val="00AC38A5"/>
    <w:rsid w:val="00AC4845"/>
    <w:rsid w:val="00AC4CE2"/>
    <w:rsid w:val="00AD3F54"/>
    <w:rsid w:val="00AD5329"/>
    <w:rsid w:val="00AD7A18"/>
    <w:rsid w:val="00AE18BE"/>
    <w:rsid w:val="00AE26F6"/>
    <w:rsid w:val="00AE3AF4"/>
    <w:rsid w:val="00AE5008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0FF7"/>
    <w:rsid w:val="00B4144A"/>
    <w:rsid w:val="00B42D27"/>
    <w:rsid w:val="00B43337"/>
    <w:rsid w:val="00B464AE"/>
    <w:rsid w:val="00B5070C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145C"/>
    <w:rsid w:val="00B92EB6"/>
    <w:rsid w:val="00B9457F"/>
    <w:rsid w:val="00B958CA"/>
    <w:rsid w:val="00B9620F"/>
    <w:rsid w:val="00BA0DAC"/>
    <w:rsid w:val="00BA3D5E"/>
    <w:rsid w:val="00BA5516"/>
    <w:rsid w:val="00BA75C3"/>
    <w:rsid w:val="00BB2592"/>
    <w:rsid w:val="00BB3F8D"/>
    <w:rsid w:val="00BB6E4A"/>
    <w:rsid w:val="00BB6EA4"/>
    <w:rsid w:val="00BC08AA"/>
    <w:rsid w:val="00BC321C"/>
    <w:rsid w:val="00BC4175"/>
    <w:rsid w:val="00BC5429"/>
    <w:rsid w:val="00BC5DB4"/>
    <w:rsid w:val="00BC6566"/>
    <w:rsid w:val="00BE0C4A"/>
    <w:rsid w:val="00BE344F"/>
    <w:rsid w:val="00BE47D5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07630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0E0C"/>
    <w:rsid w:val="00CA306A"/>
    <w:rsid w:val="00CA6199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D59D0"/>
    <w:rsid w:val="00CE0645"/>
    <w:rsid w:val="00CE1237"/>
    <w:rsid w:val="00CE2985"/>
    <w:rsid w:val="00CE2E69"/>
    <w:rsid w:val="00CE559E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4F6B"/>
    <w:rsid w:val="00D7555B"/>
    <w:rsid w:val="00D75CD6"/>
    <w:rsid w:val="00D75EC3"/>
    <w:rsid w:val="00D80590"/>
    <w:rsid w:val="00D85159"/>
    <w:rsid w:val="00D859AD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19E6"/>
    <w:rsid w:val="00DC21DF"/>
    <w:rsid w:val="00DC3362"/>
    <w:rsid w:val="00DC4341"/>
    <w:rsid w:val="00DD0EE9"/>
    <w:rsid w:val="00DD138A"/>
    <w:rsid w:val="00DD1D01"/>
    <w:rsid w:val="00DD2ACC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05641"/>
    <w:rsid w:val="00E116C1"/>
    <w:rsid w:val="00E14E96"/>
    <w:rsid w:val="00E15577"/>
    <w:rsid w:val="00E20398"/>
    <w:rsid w:val="00E21352"/>
    <w:rsid w:val="00E2356A"/>
    <w:rsid w:val="00E24775"/>
    <w:rsid w:val="00E27651"/>
    <w:rsid w:val="00E363F0"/>
    <w:rsid w:val="00E3733F"/>
    <w:rsid w:val="00E42236"/>
    <w:rsid w:val="00E45D5E"/>
    <w:rsid w:val="00E47188"/>
    <w:rsid w:val="00E512BB"/>
    <w:rsid w:val="00E52CED"/>
    <w:rsid w:val="00E54BE5"/>
    <w:rsid w:val="00E55777"/>
    <w:rsid w:val="00E55942"/>
    <w:rsid w:val="00E5676C"/>
    <w:rsid w:val="00E57A9C"/>
    <w:rsid w:val="00E57CFF"/>
    <w:rsid w:val="00E6281B"/>
    <w:rsid w:val="00E64AE3"/>
    <w:rsid w:val="00E6594F"/>
    <w:rsid w:val="00E71601"/>
    <w:rsid w:val="00E72D12"/>
    <w:rsid w:val="00E73855"/>
    <w:rsid w:val="00E80126"/>
    <w:rsid w:val="00E813AC"/>
    <w:rsid w:val="00E82FAA"/>
    <w:rsid w:val="00E847BB"/>
    <w:rsid w:val="00E85412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25F"/>
    <w:rsid w:val="00EC6435"/>
    <w:rsid w:val="00EC65BD"/>
    <w:rsid w:val="00ED2550"/>
    <w:rsid w:val="00ED3347"/>
    <w:rsid w:val="00ED544B"/>
    <w:rsid w:val="00ED5771"/>
    <w:rsid w:val="00ED5CBF"/>
    <w:rsid w:val="00ED63FC"/>
    <w:rsid w:val="00ED7CA8"/>
    <w:rsid w:val="00EE0476"/>
    <w:rsid w:val="00EE2656"/>
    <w:rsid w:val="00EE6848"/>
    <w:rsid w:val="00EE7FFE"/>
    <w:rsid w:val="00EF2F04"/>
    <w:rsid w:val="00EF31B2"/>
    <w:rsid w:val="00EF390F"/>
    <w:rsid w:val="00EF44E2"/>
    <w:rsid w:val="00EF486E"/>
    <w:rsid w:val="00EF62D0"/>
    <w:rsid w:val="00F0151D"/>
    <w:rsid w:val="00F0215C"/>
    <w:rsid w:val="00F021A5"/>
    <w:rsid w:val="00F1234A"/>
    <w:rsid w:val="00F1374D"/>
    <w:rsid w:val="00F15677"/>
    <w:rsid w:val="00F2553E"/>
    <w:rsid w:val="00F26115"/>
    <w:rsid w:val="00F2656E"/>
    <w:rsid w:val="00F27ED1"/>
    <w:rsid w:val="00F310EE"/>
    <w:rsid w:val="00F31CD8"/>
    <w:rsid w:val="00F3306A"/>
    <w:rsid w:val="00F3665B"/>
    <w:rsid w:val="00F36A35"/>
    <w:rsid w:val="00F370CB"/>
    <w:rsid w:val="00F4196F"/>
    <w:rsid w:val="00F4211F"/>
    <w:rsid w:val="00F42908"/>
    <w:rsid w:val="00F46B32"/>
    <w:rsid w:val="00F46E7F"/>
    <w:rsid w:val="00F502DF"/>
    <w:rsid w:val="00F53C17"/>
    <w:rsid w:val="00F5666F"/>
    <w:rsid w:val="00F57ACB"/>
    <w:rsid w:val="00F63393"/>
    <w:rsid w:val="00F65946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87185"/>
    <w:rsid w:val="00F90C1F"/>
    <w:rsid w:val="00F937DB"/>
    <w:rsid w:val="00F93AC5"/>
    <w:rsid w:val="00F93CE7"/>
    <w:rsid w:val="00F96958"/>
    <w:rsid w:val="00F9743A"/>
    <w:rsid w:val="00FA01E8"/>
    <w:rsid w:val="00FA0B21"/>
    <w:rsid w:val="00FA43EC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432E"/>
    <w:rsid w:val="00FC50A6"/>
    <w:rsid w:val="00FC7A7B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0FF5984"/>
    <w:rsid w:val="0C25E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chart" Target="charts/chart1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hart" Target="charts/chart4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hyperlink" Target="https://www.ifstat.gov.ua/EX_IN/EX-CINY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hyperlink" Target="https://stat.gov.ua/sites/default/files/migration/files/2023/190_2023/190_2023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chart" Target="charts/chart5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922897398067017E-2"/>
                  <c:y val="-6.10595334957078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404405711878357E-2"/>
                  <c:y val="-6.2566489185485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3404405711878399E-2"/>
                  <c:y val="-5.58599267989515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4951371560078E-2"/>
                      <c:h val="7.8033385401005337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5.340229046251694E-2"/>
                  <c:y val="-4.9182517617812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3406520961239816E-2"/>
                  <c:y val="-6.27005939303026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8927127896790018E-2"/>
                  <c:y val="-4.9155484645536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5491063952801737E-2"/>
                  <c:y val="-4.2371268720995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402290462516898E-2"/>
                  <c:y val="3.83301043949781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7875690320442652E-2"/>
                  <c:y val="-5.67263070574610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39841250535439E-2"/>
                  <c:y val="-4.9075975903550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8929243146151394E-2"/>
                  <c:y val="-5.4533986011761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9250055965972692E-2"/>
                  <c:y val="-4.38941261591712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8760181840936776E-2"/>
                  <c:y val="-5.73851694993864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2026_1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1.2</c:v>
                </c:pt>
                <c:pt idx="1">
                  <c:v>0.8</c:v>
                </c:pt>
                <c:pt idx="2">
                  <c:v>1.4</c:v>
                </c:pt>
                <c:pt idx="3">
                  <c:v>0.9</c:v>
                </c:pt>
                <c:pt idx="4">
                  <c:v>1.1000000000000001</c:v>
                </c:pt>
                <c:pt idx="5" formatCode="0.0">
                  <c:v>1</c:v>
                </c:pt>
                <c:pt idx="6">
                  <c:v>0.2</c:v>
                </c:pt>
                <c:pt idx="7">
                  <c:v>-0.2</c:v>
                </c:pt>
                <c:pt idx="8">
                  <c:v>0.5</c:v>
                </c:pt>
                <c:pt idx="9">
                  <c:v>0.3</c:v>
                </c:pt>
                <c:pt idx="10">
                  <c:v>0.5</c:v>
                </c:pt>
                <c:pt idx="11">
                  <c:v>0.3</c:v>
                </c:pt>
                <c:pt idx="12">
                  <c:v>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0665856"/>
        <c:axId val="230668208"/>
      </c:lineChart>
      <c:catAx>
        <c:axId val="230665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30668208"/>
        <c:crosses val="autoZero"/>
        <c:auto val="1"/>
        <c:lblAlgn val="ctr"/>
        <c:lblOffset val="100"/>
        <c:noMultiLvlLbl val="0"/>
      </c:catAx>
      <c:valAx>
        <c:axId val="230668208"/>
        <c:scaling>
          <c:orientation val="minMax"/>
          <c:max val="2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30665856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578074735285356E-2"/>
                  <c:y val="-6.1114129498538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2362910123356638E-2"/>
                  <c:y val="-6.2594034481749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0280043382035246E-2"/>
                  <c:y val="-3.5637172592358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4759326696704912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0280043382035204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6842193438026373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7883626808686986E-2"/>
                  <c:y val="-5.5834994265459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404343494017417E-2"/>
                  <c:y val="-5.591429324122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7883626808686986E-2"/>
                  <c:y val="-5.67535850854060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3398412505354223E-2"/>
                  <c:y val="-5.488912505930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822100477870246E-2"/>
                  <c:y val="-5.02712573247428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3718992"/>
        <c:axId val="293719384"/>
      </c:lineChart>
      <c:catAx>
        <c:axId val="293718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3719384"/>
        <c:crosses val="autoZero"/>
        <c:auto val="1"/>
        <c:lblAlgn val="ctr"/>
        <c:lblOffset val="100"/>
        <c:noMultiLvlLbl val="0"/>
      </c:catAx>
      <c:valAx>
        <c:axId val="293719384"/>
        <c:scaling>
          <c:orientation val="minMax"/>
          <c:max val="10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3718992"/>
        <c:crosses val="autoZero"/>
        <c:crossBetween val="midCat"/>
        <c:majorUnit val="1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25565633409753E-2"/>
          <c:y val="5.1877377687339653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9962124987541115E-2"/>
                  <c:y val="-6.75413607006989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446825475929435E-2"/>
                  <c:y val="-7.8319915066796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7786637429814942E-2"/>
                  <c:y val="-8.17597098115544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451576464334363E-2"/>
                  <c:y val="-7.05175617092807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96355360643211E-2"/>
                  <c:y val="-8.1759709811554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37130801687763E-2"/>
                  <c:y val="-8.1759709811554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9.1379115585235385E-2"/>
                  <c:y val="6.77413076174465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7.1393401774145326E-2"/>
                  <c:y val="7.5543660974962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1583441310342615E-2"/>
                  <c:y val="7.1319118818012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7617528821555533E-2"/>
                  <c:y val="-6.70078740157480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1060168111897406E-2"/>
                  <c:y val="-8.1802176413341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0868467390943227E-2"/>
                  <c:y val="8.3311510218526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>
                    <c:manualLayout>
                      <c:w val="8.855011794411774E-2"/>
                      <c:h val="0.14102804565159693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1.2411043556264328E-2"/>
                  <c:y val="-7.9692117137043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2026_1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 formatCode="0.0">
                  <c:v>1</c:v>
                </c:pt>
                <c:pt idx="1">
                  <c:v>1.3</c:v>
                </c:pt>
                <c:pt idx="2">
                  <c:v>1.8</c:v>
                </c:pt>
                <c:pt idx="3">
                  <c:v>1.8</c:v>
                </c:pt>
                <c:pt idx="4">
                  <c:v>2.2999999999999998</c:v>
                </c:pt>
                <c:pt idx="5">
                  <c:v>1.7</c:v>
                </c:pt>
                <c:pt idx="6">
                  <c:v>-0.6</c:v>
                </c:pt>
                <c:pt idx="7">
                  <c:v>-1.2</c:v>
                </c:pt>
                <c:pt idx="8">
                  <c:v>-0.9</c:v>
                </c:pt>
                <c:pt idx="9">
                  <c:v>0.7</c:v>
                </c:pt>
                <c:pt idx="10">
                  <c:v>0.8</c:v>
                </c:pt>
                <c:pt idx="11">
                  <c:v>-0.1</c:v>
                </c:pt>
                <c:pt idx="12">
                  <c:v>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3720168"/>
        <c:axId val="293720560"/>
      </c:lineChart>
      <c:catAx>
        <c:axId val="293720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3720560"/>
        <c:crosses val="autoZero"/>
        <c:auto val="1"/>
        <c:lblAlgn val="ctr"/>
        <c:lblOffset val="200"/>
        <c:noMultiLvlLbl val="0"/>
      </c:catAx>
      <c:valAx>
        <c:axId val="293720560"/>
        <c:scaling>
          <c:orientation val="minMax"/>
          <c:max val="4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3720168"/>
        <c:crosses val="autoZero"/>
        <c:crossBetween val="midCat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782783481178778E-2"/>
          <c:y val="9.682119791205874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838100933585834E-2"/>
                  <c:y val="-0.13286118729540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225422771520647E-2"/>
                  <c:y val="-0.1345058833937893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5064453968570399E-2"/>
                  <c:y val="-7.61346545165000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721053855609809E-2"/>
                      <c:h val="0.141041316464655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4.1857536795242366E-2"/>
                  <c:y val="-8.7409537290984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36964683212074E-2"/>
                      <c:h val="0.16342740865257011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029369746503206E-2"/>
                  <c:y val="-0.104225426877820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71729957805908E-2"/>
                  <c:y val="-9.2995664867734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6.6065317784644015E-2"/>
                  <c:y val="-8.95620631690701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717399249144497E-2"/>
                  <c:y val="-0.104231619923914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142961560184721E-2"/>
                  <c:y val="-7.47615677253826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9185022758231167E-2"/>
                  <c:y val="-7.8313722020702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7305890561148211E-2"/>
                  <c:y val="-0.115592320622843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1332602412040266E-2"/>
                  <c:y val="-0.1021640272494028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50028240141025E-2"/>
                  <c:y val="-8.53193842342740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>
                    <c:manualLayout>
                      <c:w val="7.1314234845301583E-2"/>
                      <c:h val="0.141034731535455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2026_1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 formatCode="0.0">
                  <c:v>0</c:v>
                </c:pt>
                <c:pt idx="1">
                  <c:v>0.2</c:v>
                </c:pt>
                <c:pt idx="2">
                  <c:v>0.3</c:v>
                </c:pt>
                <c:pt idx="3">
                  <c:v>0.1</c:v>
                </c:pt>
                <c:pt idx="4" formatCode="0.0">
                  <c:v>0</c:v>
                </c:pt>
                <c:pt idx="5">
                  <c:v>0.1</c:v>
                </c:pt>
                <c:pt idx="6">
                  <c:v>0.2</c:v>
                </c:pt>
                <c:pt idx="7">
                  <c:v>0.2</c:v>
                </c:pt>
                <c:pt idx="8">
                  <c:v>0.3</c:v>
                </c:pt>
                <c:pt idx="9">
                  <c:v>0.3</c:v>
                </c:pt>
                <c:pt idx="10" formatCode="0.0">
                  <c:v>0</c:v>
                </c:pt>
                <c:pt idx="11" formatCode="0.0">
                  <c:v>0</c:v>
                </c:pt>
                <c:pt idx="12">
                  <c:v>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3721344"/>
        <c:axId val="293721736"/>
      </c:lineChart>
      <c:catAx>
        <c:axId val="293721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3721736"/>
        <c:crosses val="autoZero"/>
        <c:auto val="1"/>
        <c:lblAlgn val="ctr"/>
        <c:lblOffset val="200"/>
        <c:noMultiLvlLbl val="0"/>
      </c:catAx>
      <c:valAx>
        <c:axId val="293721736"/>
        <c:scaling>
          <c:orientation val="minMax"/>
          <c:max val="0.5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3721344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20352835642382E-2"/>
                  <c:y val="-8.78227019375387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664241336921492E-2"/>
                  <c:y val="-8.94735910820136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939466427456062E-2"/>
                  <c:y val="-8.17535167654604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451576464334363E-2"/>
                  <c:y val="6.43015128726885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8738496295558031E-2"/>
                  <c:y val="6.43138989648765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8738496295557989E-2"/>
                  <c:y val="-5.928160665310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3404432040931593E-2"/>
                  <c:y val="-6.70016809696540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3723711751221047E-2"/>
                  <c:y val="-8.16774307705918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469949167746437E-2"/>
                  <c:y val="-9.7201627886401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9194989866772905E-2"/>
                  <c:y val="-6.6777846589401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262832652247583E-2"/>
                  <c:y val="-8.1878262408210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8211236253696133E-2"/>
                  <c:y val="-7.9698310183137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2412079580539671E-2"/>
                  <c:y val="-9.09340379670079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2026_1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1.2</c:v>
                </c:pt>
                <c:pt idx="1">
                  <c:v>0.8</c:v>
                </c:pt>
                <c:pt idx="2">
                  <c:v>0.2</c:v>
                </c:pt>
                <c:pt idx="3">
                  <c:v>-0.5</c:v>
                </c:pt>
                <c:pt idx="4">
                  <c:v>-0.5</c:v>
                </c:pt>
                <c:pt idx="5">
                  <c:v>1.4</c:v>
                </c:pt>
                <c:pt idx="6">
                  <c:v>1.8</c:v>
                </c:pt>
                <c:pt idx="7">
                  <c:v>0.4</c:v>
                </c:pt>
                <c:pt idx="8" formatCode="0.0">
                  <c:v>0</c:v>
                </c:pt>
                <c:pt idx="9">
                  <c:v>0.5</c:v>
                </c:pt>
                <c:pt idx="10">
                  <c:v>0.7</c:v>
                </c:pt>
                <c:pt idx="11">
                  <c:v>1.1000000000000001</c:v>
                </c:pt>
                <c:pt idx="12">
                  <c:v>1.1000000000000001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3722520"/>
        <c:axId val="299069320"/>
      </c:lineChart>
      <c:catAx>
        <c:axId val="293722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9069320"/>
        <c:crosses val="autoZero"/>
        <c:auto val="1"/>
        <c:lblAlgn val="ctr"/>
        <c:lblOffset val="200"/>
        <c:noMultiLvlLbl val="0"/>
      </c:catAx>
      <c:valAx>
        <c:axId val="299069320"/>
        <c:scaling>
          <c:orientation val="minMax"/>
          <c:max val="3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3722520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E397F4-45D8-4418-A347-360415B2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3</Pages>
  <Words>3418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Ірина Я. ПРОЦИК</cp:lastModifiedBy>
  <cp:revision>84</cp:revision>
  <cp:lastPrinted>2025-10-10T12:03:00Z</cp:lastPrinted>
  <dcterms:created xsi:type="dcterms:W3CDTF">2025-09-19T08:12:00Z</dcterms:created>
  <dcterms:modified xsi:type="dcterms:W3CDTF">2026-02-13T11:36:00Z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